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78A9" w14:textId="77777777" w:rsidR="002121E1" w:rsidRPr="002121E1" w:rsidRDefault="002121E1" w:rsidP="002121E1">
      <w:r w:rsidRPr="002121E1">
        <w:t>USDA Forest Service, Rocky Mountain Research Station, Science You Can Use in Five Minutes.</w:t>
      </w:r>
    </w:p>
    <w:p w14:paraId="789EC485" w14:textId="77777777" w:rsidR="002121E1" w:rsidRPr="002121E1" w:rsidRDefault="002121E1" w:rsidP="002121E1">
      <w:r w:rsidRPr="002121E1">
        <w:t>Misconceptions around strategy. Managing fire response and public communication to support </w:t>
      </w:r>
      <w:proofErr w:type="gramStart"/>
      <w:r w:rsidRPr="002121E1">
        <w:t>risk based</w:t>
      </w:r>
      <w:proofErr w:type="gramEnd"/>
      <w:r w:rsidRPr="002121E1">
        <w:t> decision making. The twenty </w:t>
      </w:r>
      <w:proofErr w:type="gramStart"/>
      <w:r w:rsidRPr="002121E1">
        <w:t>twenty one</w:t>
      </w:r>
      <w:proofErr w:type="gramEnd"/>
      <w:r w:rsidRPr="002121E1">
        <w:t> Tamarack Fire in California, started by lightning in a national forest wilderness area, burned nearly seventy thousand acres, and eventually destroyed twenty four structures.</w:t>
      </w:r>
    </w:p>
    <w:p w14:paraId="7DE611B2" w14:textId="77777777" w:rsidR="002121E1" w:rsidRPr="002121E1" w:rsidRDefault="002121E1" w:rsidP="002121E1">
      <w:r w:rsidRPr="002121E1">
        <w:t>Because properties were damaged, the public and media scrutinized the fire management response.</w:t>
      </w:r>
    </w:p>
    <w:p w14:paraId="7E41C721" w14:textId="77777777" w:rsidR="002121E1" w:rsidRPr="002121E1" w:rsidRDefault="002121E1" w:rsidP="002121E1">
      <w:r w:rsidRPr="002121E1">
        <w:t>This fire exemplifies not only the challenges of fire management and land and resource management, but also how shortcomings in the fire response reporting system can make way for misperceptions to dominate the public narrative. The initial response to the Tamarack fire was to observe the incident remotely due to high hazards to firefighters and a perception of limited risk to valuable resources and assets. On the US National Incident Management System incident status summary, ICS two zero nine, fire managers labeled this early response as monitoring.</w:t>
      </w:r>
    </w:p>
    <w:p w14:paraId="3C814BBA" w14:textId="77777777" w:rsidR="002121E1" w:rsidRPr="002121E1" w:rsidRDefault="002121E1" w:rsidP="002121E1">
      <w:r w:rsidRPr="002121E1">
        <w:t>Without context, this label potentially communicates a passive approach to wildfire management and obscures the complex factors involved in the decision.</w:t>
      </w:r>
    </w:p>
    <w:p w14:paraId="4742F975" w14:textId="77777777" w:rsidR="002121E1" w:rsidRPr="002121E1" w:rsidRDefault="002121E1" w:rsidP="002121E1">
      <w:r w:rsidRPr="002121E1">
        <w:t>It fails to communicate that, meanwhile, managers are actively identifying conditions when actions will be taken and for what reasons.</w:t>
      </w:r>
    </w:p>
    <w:p w14:paraId="6F68E401" w14:textId="77777777" w:rsidR="002121E1" w:rsidRPr="002121E1" w:rsidRDefault="002121E1" w:rsidP="002121E1">
      <w:r w:rsidRPr="002121E1">
        <w:t>Lacking that additional context, many in the public viewed this response as the USDA Forest Service letting it burn.</w:t>
      </w:r>
    </w:p>
    <w:p w14:paraId="25FFE6C9" w14:textId="77777777" w:rsidR="002121E1" w:rsidRPr="002121E1" w:rsidRDefault="002121E1" w:rsidP="002121E1">
      <w:r w:rsidRPr="002121E1">
        <w:t>Ultimately, this misperception contributed to controversy around the response to the Tamarack Fire.</w:t>
      </w:r>
    </w:p>
    <w:p w14:paraId="65458090" w14:textId="77777777" w:rsidR="002121E1" w:rsidRPr="002121E1" w:rsidRDefault="002121E1" w:rsidP="002121E1">
      <w:r w:rsidRPr="002121E1">
        <w:t>The public expectation of direct and aggressive fire suppression, especially in hindsight after the damage was done, was not tempered with the awareness of the decision being driven largely to protect firefighter safety.</w:t>
      </w:r>
    </w:p>
    <w:p w14:paraId="36620275" w14:textId="77777777" w:rsidR="002121E1" w:rsidRPr="002121E1" w:rsidRDefault="002121E1" w:rsidP="002121E1">
      <w:r w:rsidRPr="002121E1">
        <w:t>In response to this event, Rocky Mountain Research Station's fire management specialist, Brad Petruska, and colleagues wanted to understand how often fires like the Tamarack fire occur, the driving factors behind the initial decisions in those fires, and, in turn, how they may feed the let it burn misperception.</w:t>
      </w:r>
    </w:p>
    <w:p w14:paraId="69051CCA" w14:textId="77777777" w:rsidR="002121E1" w:rsidRPr="002121E1" w:rsidRDefault="002121E1" w:rsidP="002121E1">
      <w:r w:rsidRPr="002121E1">
        <w:t>With perspective as a fire manager, Petrushka suspected a communication failure.</w:t>
      </w:r>
    </w:p>
    <w:p w14:paraId="042E6CDE" w14:textId="77777777" w:rsidR="002121E1" w:rsidRPr="002121E1" w:rsidRDefault="002121E1" w:rsidP="002121E1">
      <w:r w:rsidRPr="002121E1">
        <w:t>And as a researcher, he turned to empirical research to investigate this question. We wanted to see how often this type of outcome has occurred to understand what may be informing the let it burn dialogue, Petruska says.</w:t>
      </w:r>
    </w:p>
    <w:p w14:paraId="04134151" w14:textId="77777777" w:rsidR="002121E1" w:rsidRPr="002121E1" w:rsidRDefault="002121E1" w:rsidP="002121E1">
      <w:r w:rsidRPr="002121E1">
        <w:t>Petruska and team found that from two thousand nine to twenty twenty, only </w:t>
      </w:r>
      <w:proofErr w:type="gramStart"/>
      <w:r w:rsidRPr="002121E1">
        <w:t>thirty two out of nine</w:t>
      </w:r>
      <w:proofErr w:type="gramEnd"/>
      <w:r w:rsidRPr="002121E1">
        <w:t> hundred and forty large lightning caused fires originating on NFS lands resembled the Tamarack fire in cause, extent, and duration.</w:t>
      </w:r>
    </w:p>
    <w:p w14:paraId="71BD6A88" w14:textId="77777777" w:rsidR="002121E1" w:rsidRPr="002121E1" w:rsidRDefault="002121E1" w:rsidP="002121E1">
      <w:r w:rsidRPr="002121E1">
        <w:t>In </w:t>
      </w:r>
      <w:proofErr w:type="gramStart"/>
      <w:r w:rsidRPr="002121E1">
        <w:t>twenty six</w:t>
      </w:r>
      <w:proofErr w:type="gramEnd"/>
      <w:r w:rsidRPr="002121E1">
        <w:t> of these analog fires, the initial strategic decision was driven by severe hazards to firefighters that necessitated longer, more indirect management approaches.</w:t>
      </w:r>
    </w:p>
    <w:p w14:paraId="0AACE6C2" w14:textId="77777777" w:rsidR="002121E1" w:rsidRPr="002121E1" w:rsidRDefault="002121E1" w:rsidP="002121E1">
      <w:r w:rsidRPr="002121E1">
        <w:lastRenderedPageBreak/>
        <w:t>The same criteria documented in the Tamarack Fire initial decision in the wildland fire decision support system, WFDSS.</w:t>
      </w:r>
    </w:p>
    <w:p w14:paraId="261D63FD" w14:textId="77777777" w:rsidR="002121E1" w:rsidRPr="002121E1" w:rsidRDefault="002121E1" w:rsidP="002121E1">
      <w:r w:rsidRPr="002121E1">
        <w:t>Only in the remaining six fires was the decision driven by pursuing resource objectives, such as improving forest health.</w:t>
      </w:r>
    </w:p>
    <w:p w14:paraId="5091ADA3" w14:textId="77777777" w:rsidR="002121E1" w:rsidRPr="002121E1" w:rsidRDefault="002121E1" w:rsidP="002121E1">
      <w:r w:rsidRPr="002121E1">
        <w:t>That is only </w:t>
      </w:r>
      <w:proofErr w:type="gramStart"/>
      <w:r w:rsidRPr="002121E1">
        <w:t>zero point</w:t>
      </w:r>
      <w:proofErr w:type="gramEnd"/>
      <w:r w:rsidRPr="002121E1">
        <w:t> six percent of large lightning caused fires with similar characteristics to the Tamarack fire over the time period examined had strategies driven by the pursuit of resource objectives.</w:t>
      </w:r>
    </w:p>
    <w:p w14:paraId="7FBF200D" w14:textId="77777777" w:rsidR="002121E1" w:rsidRPr="002121E1" w:rsidRDefault="002121E1" w:rsidP="002121E1">
      <w:r w:rsidRPr="002121E1">
        <w:t>Public perception of a wildfire response can be heavily influenced by the extent of fire damage.</w:t>
      </w:r>
    </w:p>
    <w:p w14:paraId="623D8AC2" w14:textId="77777777" w:rsidR="002121E1" w:rsidRPr="002121E1" w:rsidRDefault="002121E1" w:rsidP="002121E1">
      <w:r w:rsidRPr="002121E1">
        <w:t>In the subset of all similar fires, the researchers found that </w:t>
      </w:r>
      <w:proofErr w:type="gramStart"/>
      <w:r w:rsidRPr="002121E1">
        <w:t>thirty two</w:t>
      </w:r>
      <w:proofErr w:type="gramEnd"/>
      <w:r w:rsidRPr="002121E1">
        <w:t> analog lightning caused fires were responsible for sixty two percent or three hundred and eighty six of structures lost by the same subset.</w:t>
      </w:r>
    </w:p>
    <w:p w14:paraId="6E010E03" w14:textId="77777777" w:rsidR="002121E1" w:rsidRPr="002121E1" w:rsidRDefault="002121E1" w:rsidP="002121E1">
      <w:r w:rsidRPr="002121E1">
        <w:t>While these fires in total destroyed a significant number of structures, all nine hundred and forty fires within the subset only destroyed six hundred and </w:t>
      </w:r>
      <w:proofErr w:type="gramStart"/>
      <w:r w:rsidRPr="002121E1">
        <w:t>twenty six</w:t>
      </w:r>
      <w:proofErr w:type="gramEnd"/>
      <w:r w:rsidRPr="002121E1">
        <w:t>, a number which pales in comparison to the twenty nine thousand six hundred and sixty one structures lost from human caused wildfires over the same time frame.</w:t>
      </w:r>
    </w:p>
    <w:p w14:paraId="39838B9E" w14:textId="77777777" w:rsidR="002121E1" w:rsidRPr="002121E1" w:rsidRDefault="002121E1" w:rsidP="002121E1">
      <w:r w:rsidRPr="002121E1">
        <w:t>This finding supports that other research demonstrating that most damage to structures results from human caused ignitions, specifically those originating on </w:t>
      </w:r>
      <w:proofErr w:type="gramStart"/>
      <w:r w:rsidRPr="002121E1">
        <w:t>non federal</w:t>
      </w:r>
      <w:proofErr w:type="gramEnd"/>
      <w:r w:rsidRPr="002121E1">
        <w:t> lands.</w:t>
      </w:r>
    </w:p>
    <w:p w14:paraId="068FF010" w14:textId="77777777" w:rsidR="002121E1" w:rsidRPr="002121E1" w:rsidRDefault="002121E1" w:rsidP="002121E1">
      <w:r w:rsidRPr="002121E1">
        <w:t>In other words, the research does not lend credence to the let burn narrative.</w:t>
      </w:r>
    </w:p>
    <w:p w14:paraId="5AF94A1C" w14:textId="77777777" w:rsidR="002121E1" w:rsidRPr="002121E1" w:rsidRDefault="002121E1" w:rsidP="002121E1">
      <w:r w:rsidRPr="002121E1">
        <w:t>Petruska and his coauthors found that the simple and misunderstood definitions of strategy in the ICS two zero nine reporting system may lead decision makers to choose fire exclusion strategies that are more easily communicated as a way of avoiding the appearance of inaction.</w:t>
      </w:r>
    </w:p>
    <w:p w14:paraId="289D0C22" w14:textId="77777777" w:rsidR="002121E1" w:rsidRPr="002121E1" w:rsidRDefault="002121E1" w:rsidP="002121E1">
      <w:r w:rsidRPr="002121E1">
        <w:t>He </w:t>
      </w:r>
      <w:proofErr w:type="gramStart"/>
      <w:r w:rsidRPr="002121E1">
        <w:t>says,</w:t>
      </w:r>
      <w:proofErr w:type="gramEnd"/>
      <w:r w:rsidRPr="002121E1">
        <w:t> the way the ICS two zero nine strategies are used as a shorthand for a unique wildfire management strategy makes it difficult to communicate the trade offs managers are making in their decisions.</w:t>
      </w:r>
    </w:p>
    <w:p w14:paraId="2BE746C6" w14:textId="77777777" w:rsidR="002121E1" w:rsidRPr="002121E1" w:rsidRDefault="002121E1" w:rsidP="002121E1">
      <w:r w:rsidRPr="002121E1">
        <w:t>What managers are allowed in the reporting systems doesn't help communicate what they are doing, what trade offs they are making, or why.</w:t>
      </w:r>
    </w:p>
    <w:p w14:paraId="6292EC46" w14:textId="77777777" w:rsidR="002121E1" w:rsidRPr="002121E1" w:rsidRDefault="002121E1" w:rsidP="002121E1">
      <w:r w:rsidRPr="002121E1">
        <w:t>Essentially, our strategic vocabulary has contributed to this communication issue, which in turn has contributed to our wildfire crisis.</w:t>
      </w:r>
    </w:p>
    <w:p w14:paraId="397F2B2C" w14:textId="77777777" w:rsidR="002121E1" w:rsidRPr="002121E1" w:rsidRDefault="002121E1" w:rsidP="002121E1">
      <w:r w:rsidRPr="002121E1">
        <w:t>Key findings and management implications.</w:t>
      </w:r>
    </w:p>
    <w:p w14:paraId="5EA8067B" w14:textId="77777777" w:rsidR="002121E1" w:rsidRPr="002121E1" w:rsidRDefault="002121E1" w:rsidP="002121E1">
      <w:r w:rsidRPr="002121E1">
        <w:t>These results suggest a communication failure. Simple definitions of strategy, such as those reported within the ICS two zero nine, lack clarity and may increase sociopolitical pressure on the agency to continue aggressive fire exclusion strategies.</w:t>
      </w:r>
    </w:p>
    <w:p w14:paraId="6F0D922B" w14:textId="77777777" w:rsidR="002121E1" w:rsidRPr="002121E1" w:rsidRDefault="002121E1" w:rsidP="002121E1">
      <w:r w:rsidRPr="002121E1">
        <w:t>Lightning ignited wildfires that could have resulted in sociopolitical controversy are rare, and those with strategies driven by resource objectives are even rarer. More commonly, risks posed to firefighters from terrain, snags, or accessibility are the primary factors driving strategy, even when fires ignite within wilderness areas.</w:t>
      </w:r>
    </w:p>
    <w:p w14:paraId="76AD74A1" w14:textId="77777777" w:rsidR="002121E1" w:rsidRPr="002121E1" w:rsidRDefault="002121E1" w:rsidP="002121E1">
      <w:r w:rsidRPr="002121E1">
        <w:lastRenderedPageBreak/>
        <w:t>How land and fire management organizations prepare and manage for low probability, high consequence events </w:t>
      </w:r>
      <w:proofErr w:type="gramStart"/>
      <w:r w:rsidRPr="002121E1">
        <w:t>is</w:t>
      </w:r>
      <w:proofErr w:type="gramEnd"/>
      <w:r w:rsidRPr="002121E1">
        <w:t> critical to informing their risk tolerance.</w:t>
      </w:r>
    </w:p>
    <w:p w14:paraId="77602BD0" w14:textId="77777777" w:rsidR="002121E1" w:rsidRPr="002121E1" w:rsidRDefault="002121E1" w:rsidP="002121E1">
      <w:r w:rsidRPr="002121E1">
        <w:t>Defining consistent and durable risk tolerances of land management agencies is necessary to increasing society's support of local land manager decisions and ultimately to shift its relationship with fire.</w:t>
      </w:r>
    </w:p>
    <w:p w14:paraId="3F7DB6FC" w14:textId="77777777" w:rsidR="002121E1" w:rsidRPr="002121E1" w:rsidRDefault="002121E1" w:rsidP="002121E1">
      <w:r w:rsidRPr="002121E1">
        <w:t>Further reading is available.</w:t>
      </w:r>
    </w:p>
    <w:p w14:paraId="54E1B517" w14:textId="77777777" w:rsidR="002121E1" w:rsidRPr="002121E1" w:rsidRDefault="002121E1" w:rsidP="002121E1">
      <w:r w:rsidRPr="002121E1">
        <w:t>Consequential lightning caused wildfires and the let burn narrative.</w:t>
      </w:r>
    </w:p>
    <w:p w14:paraId="71ED217F" w14:textId="77777777" w:rsidR="002121E1" w:rsidRPr="002121E1" w:rsidRDefault="002121E1" w:rsidP="002121E1">
      <w:r w:rsidRPr="002121E1">
        <w:t>Negative consequences of positive </w:t>
      </w:r>
      <w:proofErr w:type="gramStart"/>
      <w:r w:rsidRPr="002121E1">
        <w:t>feedbacks</w:t>
      </w:r>
      <w:proofErr w:type="gramEnd"/>
      <w:r w:rsidRPr="002121E1">
        <w:t> in US wildfire management.</w:t>
      </w:r>
    </w:p>
    <w:p w14:paraId="312B05CA" w14:textId="77777777" w:rsidR="002121E1" w:rsidRPr="002121E1" w:rsidRDefault="002121E1" w:rsidP="002121E1">
      <w:r w:rsidRPr="002121E1">
        <w:t>Human ignitions on private lands drive USFS cross boundary wildfire transmission and community impacts in the western US.</w:t>
      </w:r>
    </w:p>
    <w:p w14:paraId="5A89EB93" w14:textId="77777777" w:rsidR="002121E1" w:rsidRPr="002121E1" w:rsidRDefault="002121E1" w:rsidP="002121E1">
      <w:r w:rsidRPr="002121E1">
        <w:t>Brad Petrushka is a fire management specialist with the human dimensions program at the Rocky Mountain Research Station, holding the roles of operations section chief, strategic operational planner, and </w:t>
      </w:r>
      <w:proofErr w:type="gramStart"/>
      <w:r w:rsidRPr="002121E1">
        <w:t>long term</w:t>
      </w:r>
      <w:proofErr w:type="gramEnd"/>
      <w:r w:rsidRPr="002121E1">
        <w:t> analyst on large wildfires.</w:t>
      </w:r>
    </w:p>
    <w:p w14:paraId="5D7CF9BB" w14:textId="2EC14DC8" w:rsidR="00D25999" w:rsidRDefault="002121E1">
      <w:r w:rsidRPr="002121E1">
        <w:t>Brad's work spans boundaries between research and the field, aligning the needs of the field with research and integrating the best science into decision making around wildfire operation. This science you can use has been read by Lexi Nukirch.</w:t>
      </w:r>
    </w:p>
    <w:sectPr w:rsidR="00D259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1E1"/>
    <w:rsid w:val="002121E1"/>
    <w:rsid w:val="00817E64"/>
    <w:rsid w:val="00864DBC"/>
    <w:rsid w:val="00D25999"/>
    <w:rsid w:val="00D37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D1718"/>
  <w15:chartTrackingRefBased/>
  <w15:docId w15:val="{E44D0D9C-E6A8-4E39-AD50-E50556F81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21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21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21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21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21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21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21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21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21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21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21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21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21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21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21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21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21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21E1"/>
    <w:rPr>
      <w:rFonts w:eastAsiaTheme="majorEastAsia" w:cstheme="majorBidi"/>
      <w:color w:val="272727" w:themeColor="text1" w:themeTint="D8"/>
    </w:rPr>
  </w:style>
  <w:style w:type="paragraph" w:styleId="Title">
    <w:name w:val="Title"/>
    <w:basedOn w:val="Normal"/>
    <w:next w:val="Normal"/>
    <w:link w:val="TitleChar"/>
    <w:uiPriority w:val="10"/>
    <w:qFormat/>
    <w:rsid w:val="002121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21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21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21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21E1"/>
    <w:pPr>
      <w:spacing w:before="160"/>
      <w:jc w:val="center"/>
    </w:pPr>
    <w:rPr>
      <w:i/>
      <w:iCs/>
      <w:color w:val="404040" w:themeColor="text1" w:themeTint="BF"/>
    </w:rPr>
  </w:style>
  <w:style w:type="character" w:customStyle="1" w:styleId="QuoteChar">
    <w:name w:val="Quote Char"/>
    <w:basedOn w:val="DefaultParagraphFont"/>
    <w:link w:val="Quote"/>
    <w:uiPriority w:val="29"/>
    <w:rsid w:val="002121E1"/>
    <w:rPr>
      <w:i/>
      <w:iCs/>
      <w:color w:val="404040" w:themeColor="text1" w:themeTint="BF"/>
    </w:rPr>
  </w:style>
  <w:style w:type="paragraph" w:styleId="ListParagraph">
    <w:name w:val="List Paragraph"/>
    <w:basedOn w:val="Normal"/>
    <w:uiPriority w:val="34"/>
    <w:qFormat/>
    <w:rsid w:val="002121E1"/>
    <w:pPr>
      <w:ind w:left="720"/>
      <w:contextualSpacing/>
    </w:pPr>
  </w:style>
  <w:style w:type="character" w:styleId="IntenseEmphasis">
    <w:name w:val="Intense Emphasis"/>
    <w:basedOn w:val="DefaultParagraphFont"/>
    <w:uiPriority w:val="21"/>
    <w:qFormat/>
    <w:rsid w:val="002121E1"/>
    <w:rPr>
      <w:i/>
      <w:iCs/>
      <w:color w:val="0F4761" w:themeColor="accent1" w:themeShade="BF"/>
    </w:rPr>
  </w:style>
  <w:style w:type="paragraph" w:styleId="IntenseQuote">
    <w:name w:val="Intense Quote"/>
    <w:basedOn w:val="Normal"/>
    <w:next w:val="Normal"/>
    <w:link w:val="IntenseQuoteChar"/>
    <w:uiPriority w:val="30"/>
    <w:qFormat/>
    <w:rsid w:val="002121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21E1"/>
    <w:rPr>
      <w:i/>
      <w:iCs/>
      <w:color w:val="0F4761" w:themeColor="accent1" w:themeShade="BF"/>
    </w:rPr>
  </w:style>
  <w:style w:type="character" w:styleId="IntenseReference">
    <w:name w:val="Intense Reference"/>
    <w:basedOn w:val="DefaultParagraphFont"/>
    <w:uiPriority w:val="32"/>
    <w:qFormat/>
    <w:rsid w:val="002121E1"/>
    <w:rPr>
      <w:b/>
      <w:bCs/>
      <w:smallCaps/>
      <w:color w:val="0F4761" w:themeColor="accent1" w:themeShade="BF"/>
      <w:spacing w:val="5"/>
    </w:rPr>
  </w:style>
  <w:style w:type="paragraph" w:customStyle="1" w:styleId="msonormal0">
    <w:name w:val="msonormal"/>
    <w:basedOn w:val="Normal"/>
    <w:rsid w:val="002121E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dparagraph-egxgmf">
    <w:name w:val="styledparagraph-egxgmf"/>
    <w:basedOn w:val="Normal"/>
    <w:rsid w:val="002121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med-words">
    <w:name w:val="timed-words"/>
    <w:basedOn w:val="DefaultParagraphFont"/>
    <w:rsid w:val="002121E1"/>
  </w:style>
  <w:style w:type="character" w:customStyle="1" w:styleId="word-krxvfa">
    <w:name w:val="word-krxvfa"/>
    <w:basedOn w:val="DefaultParagraphFont"/>
    <w:rsid w:val="00212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758558">
      <w:bodyDiv w:val="1"/>
      <w:marLeft w:val="0"/>
      <w:marRight w:val="0"/>
      <w:marTop w:val="0"/>
      <w:marBottom w:val="0"/>
      <w:divBdr>
        <w:top w:val="none" w:sz="0" w:space="0" w:color="auto"/>
        <w:left w:val="none" w:sz="0" w:space="0" w:color="auto"/>
        <w:bottom w:val="none" w:sz="0" w:space="0" w:color="auto"/>
        <w:right w:val="none" w:sz="0" w:space="0" w:color="auto"/>
      </w:divBdr>
      <w:divsChild>
        <w:div w:id="596838722">
          <w:marLeft w:val="0"/>
          <w:marRight w:val="0"/>
          <w:marTop w:val="0"/>
          <w:marBottom w:val="0"/>
          <w:divBdr>
            <w:top w:val="none" w:sz="0" w:space="0" w:color="auto"/>
            <w:left w:val="none" w:sz="0" w:space="0" w:color="auto"/>
            <w:bottom w:val="none" w:sz="0" w:space="0" w:color="auto"/>
            <w:right w:val="none" w:sz="0" w:space="0" w:color="auto"/>
          </w:divBdr>
          <w:divsChild>
            <w:div w:id="918908681">
              <w:marLeft w:val="0"/>
              <w:marRight w:val="0"/>
              <w:marTop w:val="0"/>
              <w:marBottom w:val="0"/>
              <w:divBdr>
                <w:top w:val="none" w:sz="0" w:space="0" w:color="auto"/>
                <w:left w:val="none" w:sz="0" w:space="0" w:color="auto"/>
                <w:bottom w:val="none" w:sz="0" w:space="0" w:color="auto"/>
                <w:right w:val="none" w:sz="0" w:space="0" w:color="auto"/>
              </w:divBdr>
              <w:divsChild>
                <w:div w:id="791171913">
                  <w:marLeft w:val="0"/>
                  <w:marRight w:val="0"/>
                  <w:marTop w:val="0"/>
                  <w:marBottom w:val="0"/>
                  <w:divBdr>
                    <w:top w:val="none" w:sz="0" w:space="0" w:color="auto"/>
                    <w:left w:val="none" w:sz="0" w:space="0" w:color="auto"/>
                    <w:bottom w:val="none" w:sz="0" w:space="0" w:color="auto"/>
                    <w:right w:val="none" w:sz="0" w:space="0" w:color="auto"/>
                  </w:divBdr>
                  <w:divsChild>
                    <w:div w:id="1204245724">
                      <w:marLeft w:val="0"/>
                      <w:marRight w:val="0"/>
                      <w:marTop w:val="0"/>
                      <w:marBottom w:val="0"/>
                      <w:divBdr>
                        <w:top w:val="none" w:sz="0" w:space="0" w:color="auto"/>
                        <w:left w:val="none" w:sz="0" w:space="0" w:color="auto"/>
                        <w:bottom w:val="none" w:sz="0" w:space="0" w:color="auto"/>
                        <w:right w:val="none" w:sz="0" w:space="0" w:color="auto"/>
                      </w:divBdr>
                      <w:divsChild>
                        <w:div w:id="1113987129">
                          <w:marLeft w:val="0"/>
                          <w:marRight w:val="0"/>
                          <w:marTop w:val="0"/>
                          <w:marBottom w:val="300"/>
                          <w:divBdr>
                            <w:top w:val="none" w:sz="0" w:space="0" w:color="auto"/>
                            <w:left w:val="none" w:sz="0" w:space="0" w:color="auto"/>
                            <w:bottom w:val="none" w:sz="0" w:space="0" w:color="auto"/>
                            <w:right w:val="none" w:sz="0" w:space="0" w:color="auto"/>
                          </w:divBdr>
                          <w:divsChild>
                            <w:div w:id="818183422">
                              <w:marLeft w:val="0"/>
                              <w:marRight w:val="0"/>
                              <w:marTop w:val="0"/>
                              <w:marBottom w:val="0"/>
                              <w:divBdr>
                                <w:top w:val="none" w:sz="0" w:space="0" w:color="auto"/>
                                <w:left w:val="none" w:sz="0" w:space="0" w:color="auto"/>
                                <w:bottom w:val="none" w:sz="0" w:space="0" w:color="auto"/>
                                <w:right w:val="none" w:sz="0" w:space="0" w:color="auto"/>
                              </w:divBdr>
                              <w:divsChild>
                                <w:div w:id="980425351">
                                  <w:marLeft w:val="0"/>
                                  <w:marRight w:val="0"/>
                                  <w:marTop w:val="0"/>
                                  <w:marBottom w:val="0"/>
                                  <w:divBdr>
                                    <w:top w:val="none" w:sz="0" w:space="0" w:color="auto"/>
                                    <w:left w:val="none" w:sz="0" w:space="0" w:color="auto"/>
                                    <w:bottom w:val="none" w:sz="0" w:space="0" w:color="auto"/>
                                    <w:right w:val="none" w:sz="0" w:space="0" w:color="auto"/>
                                  </w:divBdr>
                                  <w:divsChild>
                                    <w:div w:id="573861927">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555203">
              <w:marLeft w:val="0"/>
              <w:marRight w:val="0"/>
              <w:marTop w:val="0"/>
              <w:marBottom w:val="0"/>
              <w:divBdr>
                <w:top w:val="none" w:sz="0" w:space="0" w:color="auto"/>
                <w:left w:val="none" w:sz="0" w:space="0" w:color="auto"/>
                <w:bottom w:val="none" w:sz="0" w:space="0" w:color="auto"/>
                <w:right w:val="none" w:sz="0" w:space="0" w:color="auto"/>
              </w:divBdr>
              <w:divsChild>
                <w:div w:id="159193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981798">
      <w:bodyDiv w:val="1"/>
      <w:marLeft w:val="0"/>
      <w:marRight w:val="0"/>
      <w:marTop w:val="0"/>
      <w:marBottom w:val="0"/>
      <w:divBdr>
        <w:top w:val="none" w:sz="0" w:space="0" w:color="auto"/>
        <w:left w:val="none" w:sz="0" w:space="0" w:color="auto"/>
        <w:bottom w:val="none" w:sz="0" w:space="0" w:color="auto"/>
        <w:right w:val="none" w:sz="0" w:space="0" w:color="auto"/>
      </w:divBdr>
      <w:divsChild>
        <w:div w:id="801771273">
          <w:marLeft w:val="0"/>
          <w:marRight w:val="0"/>
          <w:marTop w:val="0"/>
          <w:marBottom w:val="0"/>
          <w:divBdr>
            <w:top w:val="none" w:sz="0" w:space="0" w:color="auto"/>
            <w:left w:val="none" w:sz="0" w:space="0" w:color="auto"/>
            <w:bottom w:val="none" w:sz="0" w:space="0" w:color="auto"/>
            <w:right w:val="none" w:sz="0" w:space="0" w:color="auto"/>
          </w:divBdr>
          <w:divsChild>
            <w:div w:id="1843855585">
              <w:marLeft w:val="0"/>
              <w:marRight w:val="0"/>
              <w:marTop w:val="0"/>
              <w:marBottom w:val="0"/>
              <w:divBdr>
                <w:top w:val="none" w:sz="0" w:space="0" w:color="auto"/>
                <w:left w:val="none" w:sz="0" w:space="0" w:color="auto"/>
                <w:bottom w:val="none" w:sz="0" w:space="0" w:color="auto"/>
                <w:right w:val="none" w:sz="0" w:space="0" w:color="auto"/>
              </w:divBdr>
              <w:divsChild>
                <w:div w:id="900558795">
                  <w:marLeft w:val="0"/>
                  <w:marRight w:val="0"/>
                  <w:marTop w:val="0"/>
                  <w:marBottom w:val="0"/>
                  <w:divBdr>
                    <w:top w:val="none" w:sz="0" w:space="0" w:color="auto"/>
                    <w:left w:val="none" w:sz="0" w:space="0" w:color="auto"/>
                    <w:bottom w:val="none" w:sz="0" w:space="0" w:color="auto"/>
                    <w:right w:val="none" w:sz="0" w:space="0" w:color="auto"/>
                  </w:divBdr>
                  <w:divsChild>
                    <w:div w:id="1053501698">
                      <w:marLeft w:val="0"/>
                      <w:marRight w:val="0"/>
                      <w:marTop w:val="0"/>
                      <w:marBottom w:val="0"/>
                      <w:divBdr>
                        <w:top w:val="none" w:sz="0" w:space="0" w:color="auto"/>
                        <w:left w:val="none" w:sz="0" w:space="0" w:color="auto"/>
                        <w:bottom w:val="none" w:sz="0" w:space="0" w:color="auto"/>
                        <w:right w:val="none" w:sz="0" w:space="0" w:color="auto"/>
                      </w:divBdr>
                      <w:divsChild>
                        <w:div w:id="1272979093">
                          <w:marLeft w:val="0"/>
                          <w:marRight w:val="0"/>
                          <w:marTop w:val="0"/>
                          <w:marBottom w:val="300"/>
                          <w:divBdr>
                            <w:top w:val="none" w:sz="0" w:space="0" w:color="auto"/>
                            <w:left w:val="none" w:sz="0" w:space="0" w:color="auto"/>
                            <w:bottom w:val="none" w:sz="0" w:space="0" w:color="auto"/>
                            <w:right w:val="none" w:sz="0" w:space="0" w:color="auto"/>
                          </w:divBdr>
                          <w:divsChild>
                            <w:div w:id="79452085">
                              <w:marLeft w:val="0"/>
                              <w:marRight w:val="0"/>
                              <w:marTop w:val="0"/>
                              <w:marBottom w:val="0"/>
                              <w:divBdr>
                                <w:top w:val="none" w:sz="0" w:space="0" w:color="auto"/>
                                <w:left w:val="none" w:sz="0" w:space="0" w:color="auto"/>
                                <w:bottom w:val="none" w:sz="0" w:space="0" w:color="auto"/>
                                <w:right w:val="none" w:sz="0" w:space="0" w:color="auto"/>
                              </w:divBdr>
                              <w:divsChild>
                                <w:div w:id="658777588">
                                  <w:marLeft w:val="0"/>
                                  <w:marRight w:val="0"/>
                                  <w:marTop w:val="0"/>
                                  <w:marBottom w:val="0"/>
                                  <w:divBdr>
                                    <w:top w:val="none" w:sz="0" w:space="0" w:color="auto"/>
                                    <w:left w:val="none" w:sz="0" w:space="0" w:color="auto"/>
                                    <w:bottom w:val="none" w:sz="0" w:space="0" w:color="auto"/>
                                    <w:right w:val="none" w:sz="0" w:space="0" w:color="auto"/>
                                  </w:divBdr>
                                  <w:divsChild>
                                    <w:div w:id="1510681654">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166604">
              <w:marLeft w:val="0"/>
              <w:marRight w:val="0"/>
              <w:marTop w:val="0"/>
              <w:marBottom w:val="0"/>
              <w:divBdr>
                <w:top w:val="none" w:sz="0" w:space="0" w:color="auto"/>
                <w:left w:val="none" w:sz="0" w:space="0" w:color="auto"/>
                <w:bottom w:val="none" w:sz="0" w:space="0" w:color="auto"/>
                <w:right w:val="none" w:sz="0" w:space="0" w:color="auto"/>
              </w:divBdr>
              <w:divsChild>
                <w:div w:id="118266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5679</Characters>
  <Application>Microsoft Office Word</Application>
  <DocSecurity>0</DocSecurity>
  <Lines>47</Lines>
  <Paragraphs>13</Paragraphs>
  <ScaleCrop>false</ScaleCrop>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Saunders, Lyndsay - FS, CO</dc:creator>
  <cp:keywords/>
  <dc:description/>
  <cp:lastModifiedBy>Saunders, Lyndsay - FS, CO</cp:lastModifiedBy>
  <cp:revision>1</cp:revision>
  <dcterms:created xsi:type="dcterms:W3CDTF">2025-03-26T15:57:00Z</dcterms:created>
  <dcterms:modified xsi:type="dcterms:W3CDTF">2025-03-26T15:57:00Z</dcterms:modified>
</cp:coreProperties>
</file>